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C08B4" w14:textId="10CE240C" w:rsidR="000355F7" w:rsidRPr="00396E6C" w:rsidRDefault="00EA2E3F" w:rsidP="00EA2E3F">
      <w:pPr>
        <w:jc w:val="center"/>
        <w:rPr>
          <w:rFonts w:ascii="Times New Roman" w:hAnsi="Times New Roman" w:cs="Times New Roman"/>
          <w:b/>
          <w:bCs/>
          <w:sz w:val="28"/>
          <w:szCs w:val="28"/>
        </w:rPr>
      </w:pPr>
      <w:r w:rsidRPr="00396E6C">
        <w:rPr>
          <w:rFonts w:ascii="Times New Roman" w:hAnsi="Times New Roman" w:cs="Times New Roman"/>
          <w:b/>
          <w:bCs/>
          <w:sz w:val="28"/>
          <w:szCs w:val="28"/>
        </w:rPr>
        <w:t>Lưu ý trong báo cáo thống kê</w:t>
      </w:r>
    </w:p>
    <w:p w14:paraId="73CF4561" w14:textId="77777777" w:rsidR="00EA2E3F" w:rsidRPr="00396E6C" w:rsidRDefault="00EA2E3F" w:rsidP="00EA2E3F">
      <w:pPr>
        <w:jc w:val="center"/>
        <w:rPr>
          <w:rFonts w:ascii="Times New Roman" w:hAnsi="Times New Roman" w:cs="Times New Roman"/>
          <w:b/>
          <w:bCs/>
          <w:sz w:val="28"/>
          <w:szCs w:val="28"/>
        </w:rPr>
      </w:pPr>
    </w:p>
    <w:p w14:paraId="4F499389" w14:textId="2E49D4EE" w:rsidR="00EA2E3F" w:rsidRPr="00396E6C" w:rsidRDefault="00EA2E3F" w:rsidP="00EA2E3F">
      <w:pPr>
        <w:jc w:val="both"/>
        <w:rPr>
          <w:rFonts w:ascii="Times New Roman" w:hAnsi="Times New Roman" w:cs="Times New Roman"/>
          <w:sz w:val="28"/>
          <w:szCs w:val="28"/>
        </w:rPr>
      </w:pPr>
      <w:r w:rsidRPr="00672A7B">
        <w:rPr>
          <w:rFonts w:ascii="Times New Roman" w:hAnsi="Times New Roman" w:cs="Times New Roman"/>
          <w:sz w:val="28"/>
          <w:szCs w:val="28"/>
          <w:highlight w:val="yellow"/>
        </w:rPr>
        <w:t>So sánh số liệu với cùng kỳ năm trước. Tăng/giảm đột biến trên 20% thì phải có giải trình.</w:t>
      </w:r>
    </w:p>
    <w:p w14:paraId="03925126" w14:textId="5AAD5B41" w:rsidR="00EA2E3F" w:rsidRPr="00396E6C" w:rsidRDefault="00457B26" w:rsidP="00EA2E3F">
      <w:pPr>
        <w:jc w:val="both"/>
        <w:rPr>
          <w:rFonts w:ascii="Times New Roman" w:hAnsi="Times New Roman" w:cs="Times New Roman"/>
          <w:b/>
          <w:bCs/>
          <w:sz w:val="28"/>
          <w:szCs w:val="28"/>
        </w:rPr>
      </w:pPr>
      <w:r w:rsidRPr="00396E6C">
        <w:rPr>
          <w:rFonts w:ascii="Times New Roman" w:hAnsi="Times New Roman" w:cs="Times New Roman"/>
          <w:b/>
          <w:bCs/>
          <w:sz w:val="28"/>
          <w:szCs w:val="28"/>
        </w:rPr>
        <w:t xml:space="preserve">I. </w:t>
      </w:r>
      <w:r w:rsidR="00EA2E3F" w:rsidRPr="00396E6C">
        <w:rPr>
          <w:rFonts w:ascii="Times New Roman" w:hAnsi="Times New Roman" w:cs="Times New Roman"/>
          <w:b/>
          <w:bCs/>
          <w:sz w:val="28"/>
          <w:szCs w:val="28"/>
        </w:rPr>
        <w:t xml:space="preserve">Về biểu PBGDPL: </w:t>
      </w:r>
    </w:p>
    <w:p w14:paraId="1F3FCE9C" w14:textId="74E896F8" w:rsidR="00EA2E3F" w:rsidRPr="00396E6C" w:rsidRDefault="00EA2E3F" w:rsidP="00EA2E3F">
      <w:pPr>
        <w:jc w:val="both"/>
        <w:rPr>
          <w:rFonts w:ascii="Times New Roman" w:hAnsi="Times New Roman" w:cs="Times New Roman"/>
          <w:sz w:val="28"/>
          <w:szCs w:val="28"/>
        </w:rPr>
      </w:pPr>
      <w:r w:rsidRPr="00396E6C">
        <w:rPr>
          <w:rFonts w:ascii="Times New Roman" w:hAnsi="Times New Roman" w:cs="Times New Roman"/>
          <w:sz w:val="28"/>
          <w:szCs w:val="28"/>
        </w:rPr>
        <w:t>- Số người tham gia PBGDPL trực tiếp phải nhỏ hơn hoặc bằng tổng số Tuyên truyền viên pháp luật cấp xã/</w:t>
      </w:r>
      <w:r w:rsidR="00457B26" w:rsidRPr="00396E6C">
        <w:rPr>
          <w:rFonts w:ascii="Times New Roman" w:hAnsi="Times New Roman" w:cs="Times New Roman"/>
          <w:sz w:val="28"/>
          <w:szCs w:val="28"/>
        </w:rPr>
        <w:t>Báo cáo viên pháp luật</w:t>
      </w:r>
      <w:r w:rsidRPr="00396E6C">
        <w:rPr>
          <w:rFonts w:ascii="Times New Roman" w:hAnsi="Times New Roman" w:cs="Times New Roman"/>
          <w:sz w:val="28"/>
          <w:szCs w:val="28"/>
        </w:rPr>
        <w:t xml:space="preserve"> cấp huyện, cấp tỉnh</w:t>
      </w:r>
    </w:p>
    <w:p w14:paraId="6DE60C2A" w14:textId="7A83367E" w:rsidR="00EA2E3F" w:rsidRPr="00396E6C" w:rsidRDefault="00EA2E3F" w:rsidP="00EA2E3F">
      <w:pPr>
        <w:jc w:val="both"/>
        <w:rPr>
          <w:rFonts w:ascii="Times New Roman" w:hAnsi="Times New Roman" w:cs="Times New Roman"/>
          <w:sz w:val="28"/>
          <w:szCs w:val="28"/>
        </w:rPr>
      </w:pPr>
      <w:r w:rsidRPr="00396E6C">
        <w:rPr>
          <w:rFonts w:ascii="Times New Roman" w:hAnsi="Times New Roman" w:cs="Times New Roman"/>
          <w:sz w:val="28"/>
          <w:szCs w:val="28"/>
        </w:rPr>
        <w:t xml:space="preserve">- Số lượt người tham dự phổ biến giáo dục pháp luật trực tiếp </w:t>
      </w:r>
      <w:r w:rsidRPr="008821A3">
        <w:rPr>
          <w:rFonts w:ascii="Times New Roman" w:hAnsi="Times New Roman" w:cs="Times New Roman"/>
          <w:b/>
          <w:bCs/>
          <w:sz w:val="28"/>
          <w:szCs w:val="28"/>
        </w:rPr>
        <w:t xml:space="preserve">nếu nhỏ hơn 10 người hoặc lớn hơn 500 người </w:t>
      </w:r>
      <w:r w:rsidRPr="00396E6C">
        <w:rPr>
          <w:rFonts w:ascii="Times New Roman" w:hAnsi="Times New Roman" w:cs="Times New Roman"/>
          <w:sz w:val="28"/>
          <w:szCs w:val="28"/>
        </w:rPr>
        <w:t xml:space="preserve">thì cần phải </w:t>
      </w:r>
      <w:r w:rsidR="00672A7B" w:rsidRPr="00672A7B">
        <w:rPr>
          <w:rFonts w:ascii="Times New Roman" w:hAnsi="Times New Roman" w:cs="Times New Roman"/>
          <w:b/>
          <w:bCs/>
          <w:sz w:val="28"/>
          <w:szCs w:val="28"/>
        </w:rPr>
        <w:t>Ghi chú</w:t>
      </w:r>
      <w:r w:rsidRPr="00396E6C">
        <w:rPr>
          <w:rFonts w:ascii="Times New Roman" w:hAnsi="Times New Roman" w:cs="Times New Roman"/>
          <w:sz w:val="28"/>
          <w:szCs w:val="28"/>
        </w:rPr>
        <w:t>, vì chỉ thống kê số cuộc tập trung đông người dưới hình thức hội nghị, hội thảo, tập huấn, tọa đàm.</w:t>
      </w:r>
    </w:p>
    <w:p w14:paraId="5D3414E1" w14:textId="08CFAFED" w:rsidR="00396E6C" w:rsidRPr="00396E6C" w:rsidRDefault="00396E6C" w:rsidP="00396E6C">
      <w:pPr>
        <w:shd w:val="clear" w:color="auto" w:fill="FFFFFF"/>
        <w:spacing w:before="60" w:after="60" w:line="288" w:lineRule="auto"/>
        <w:jc w:val="both"/>
        <w:rPr>
          <w:rFonts w:ascii="Times New Roman" w:hAnsi="Times New Roman" w:cs="Times New Roman"/>
          <w:sz w:val="28"/>
          <w:szCs w:val="28"/>
        </w:rPr>
      </w:pPr>
      <w:r w:rsidRPr="00396E6C">
        <w:rPr>
          <w:rFonts w:ascii="Times New Roman" w:hAnsi="Times New Roman" w:cs="Times New Roman"/>
          <w:sz w:val="28"/>
          <w:szCs w:val="28"/>
        </w:rPr>
        <w:t xml:space="preserve">- Việc biên soạn và phát hành tài liệu tuyên truyền, PBGDPL (bao gồm tài liệu phát hành để tuyên truyền và tài liệu cấp phát tại các hội nghị PBGDPL trực tiếp – trường hợp cho </w:t>
      </w:r>
      <w:r w:rsidRPr="00672A7B">
        <w:rPr>
          <w:rFonts w:ascii="Times New Roman" w:hAnsi="Times New Roman" w:cs="Times New Roman"/>
          <w:b/>
          <w:bCs/>
          <w:sz w:val="28"/>
          <w:szCs w:val="28"/>
        </w:rPr>
        <w:t>quét mã QR</w:t>
      </w:r>
      <w:r w:rsidRPr="00396E6C">
        <w:rPr>
          <w:rFonts w:ascii="Times New Roman" w:hAnsi="Times New Roman" w:cs="Times New Roman"/>
          <w:sz w:val="28"/>
          <w:szCs w:val="28"/>
        </w:rPr>
        <w:t xml:space="preserve"> thì tính là tài liệu đăng tải là </w:t>
      </w:r>
      <w:r w:rsidRPr="00672A7B">
        <w:rPr>
          <w:rFonts w:ascii="Times New Roman" w:hAnsi="Times New Roman" w:cs="Times New Roman"/>
          <w:b/>
          <w:bCs/>
          <w:sz w:val="28"/>
          <w:szCs w:val="28"/>
        </w:rPr>
        <w:t>01 đơn vị</w:t>
      </w:r>
      <w:r w:rsidRPr="00396E6C">
        <w:rPr>
          <w:rFonts w:ascii="Times New Roman" w:hAnsi="Times New Roman" w:cs="Times New Roman"/>
          <w:sz w:val="28"/>
          <w:szCs w:val="28"/>
        </w:rPr>
        <w:t xml:space="preserve">, không tính theo số lượt người tham dự hội nghị như phát tài liệu giấy trực tiếp), trong đó có số lượng tài liệu đăng tải trên Trang thông tin điện tử của cơ quan, đơn vị. </w:t>
      </w:r>
    </w:p>
    <w:p w14:paraId="3211D37B" w14:textId="08049BAA" w:rsidR="00396E6C" w:rsidRPr="00396E6C" w:rsidRDefault="00396E6C" w:rsidP="00396E6C">
      <w:pPr>
        <w:shd w:val="clear" w:color="auto" w:fill="FFFFFF"/>
        <w:spacing w:before="60" w:after="60" w:line="288" w:lineRule="auto"/>
        <w:jc w:val="both"/>
        <w:rPr>
          <w:rFonts w:ascii="Times New Roman" w:hAnsi="Times New Roman" w:cs="Times New Roman"/>
          <w:sz w:val="28"/>
          <w:szCs w:val="28"/>
        </w:rPr>
      </w:pPr>
      <w:r w:rsidRPr="00396E6C">
        <w:rPr>
          <w:rFonts w:ascii="Times New Roman" w:hAnsi="Times New Roman" w:cs="Times New Roman"/>
          <w:sz w:val="28"/>
          <w:szCs w:val="28"/>
        </w:rPr>
        <w:t xml:space="preserve">- Đối với hình thức PBGDPL trực tiếp, các đơn vị chỉ thống kê số cuộc và số lượt người tham dự đối với các hội nghị </w:t>
      </w:r>
      <w:r w:rsidRPr="00396E6C">
        <w:rPr>
          <w:rFonts w:ascii="Times New Roman" w:hAnsi="Times New Roman" w:cs="Times New Roman"/>
          <w:b/>
          <w:bCs/>
          <w:sz w:val="28"/>
          <w:szCs w:val="28"/>
        </w:rPr>
        <w:t>do đơn vị chủ trì tổ chức</w:t>
      </w:r>
      <w:r w:rsidRPr="00396E6C">
        <w:rPr>
          <w:rFonts w:ascii="Times New Roman" w:hAnsi="Times New Roman" w:cs="Times New Roman"/>
          <w:sz w:val="28"/>
          <w:szCs w:val="28"/>
        </w:rPr>
        <w:t>, không thống kê đối với các hội nghị đơn vị phối hợp tổ chức hoặc cử báo cáo viên trực tiếp triển khai tại hội nghị</w:t>
      </w:r>
      <w:r w:rsidR="00672A7B">
        <w:rPr>
          <w:rFonts w:ascii="Times New Roman" w:hAnsi="Times New Roman" w:cs="Times New Roman"/>
          <w:sz w:val="28"/>
          <w:szCs w:val="28"/>
        </w:rPr>
        <w:t>, hoặc cử người tham dự hội nghị.</w:t>
      </w:r>
    </w:p>
    <w:p w14:paraId="70EAE40E" w14:textId="32EC0D9F" w:rsidR="00396E6C" w:rsidRPr="00396E6C" w:rsidRDefault="00396E6C" w:rsidP="00396E6C">
      <w:pPr>
        <w:jc w:val="both"/>
        <w:rPr>
          <w:rFonts w:ascii="Times New Roman" w:hAnsi="Times New Roman" w:cs="Times New Roman"/>
          <w:sz w:val="28"/>
          <w:szCs w:val="28"/>
        </w:rPr>
      </w:pPr>
      <w:r w:rsidRPr="00396E6C">
        <w:rPr>
          <w:rFonts w:ascii="Times New Roman" w:hAnsi="Times New Roman" w:cs="Times New Roman"/>
          <w:sz w:val="28"/>
          <w:szCs w:val="28"/>
        </w:rPr>
        <w:t xml:space="preserve">- Về cuộc thi tìm hiểu pháp luật, chỉ thống kê đối với các cuộc thi </w:t>
      </w:r>
      <w:r w:rsidRPr="00396E6C">
        <w:rPr>
          <w:rFonts w:ascii="Times New Roman" w:hAnsi="Times New Roman" w:cs="Times New Roman"/>
          <w:b/>
          <w:bCs/>
          <w:sz w:val="28"/>
          <w:szCs w:val="28"/>
        </w:rPr>
        <w:t>do cơ quan, đơn vị chủ trì tổ chức hoặc tham mưu tổ chức</w:t>
      </w:r>
      <w:r w:rsidRPr="00396E6C">
        <w:rPr>
          <w:rFonts w:ascii="Times New Roman" w:hAnsi="Times New Roman" w:cs="Times New Roman"/>
          <w:sz w:val="28"/>
          <w:szCs w:val="28"/>
        </w:rPr>
        <w:t xml:space="preserve">, không thống kê số lượng tham gia thi đối với các cuộc thi trên địa bàn tỉnh do cơ quan, đơn vị khác tổ chức. Đối với các cuộc thi của cơ quan trung ương tổ chức, đề nghị ghi rõ số lượng người tham gia, tên cuộc thi và cơ quan tổ chức thi, không thống kê chung với cuộc thi do đơn vị chủ trì tổ chức hoặc tham mưu tổ chức. Số lượt người dự thi tìm hiểu pháp luật, nếu thấp </w:t>
      </w:r>
      <w:r w:rsidRPr="00396E6C">
        <w:rPr>
          <w:rFonts w:ascii="Times New Roman" w:hAnsi="Times New Roman" w:cs="Times New Roman"/>
          <w:b/>
          <w:bCs/>
          <w:sz w:val="28"/>
          <w:szCs w:val="28"/>
        </w:rPr>
        <w:t>hơn 10 người/cuộc thì cũng cần phải xem xét</w:t>
      </w:r>
      <w:r w:rsidRPr="00396E6C">
        <w:rPr>
          <w:rFonts w:ascii="Times New Roman" w:hAnsi="Times New Roman" w:cs="Times New Roman"/>
          <w:sz w:val="28"/>
          <w:szCs w:val="28"/>
        </w:rPr>
        <w:t>, vì nếu đã tổ chức cuộc thi thì phải có tính hiệu quả.</w:t>
      </w:r>
    </w:p>
    <w:p w14:paraId="6F925E2F" w14:textId="617A8B98" w:rsidR="00396E6C" w:rsidRPr="00396E6C" w:rsidRDefault="00396E6C" w:rsidP="00396E6C">
      <w:pPr>
        <w:shd w:val="clear" w:color="auto" w:fill="FFFFFF"/>
        <w:spacing w:before="60" w:after="60" w:line="288" w:lineRule="auto"/>
        <w:jc w:val="both"/>
        <w:rPr>
          <w:rFonts w:ascii="Times New Roman" w:hAnsi="Times New Roman" w:cs="Times New Roman"/>
          <w:sz w:val="28"/>
          <w:szCs w:val="28"/>
        </w:rPr>
      </w:pPr>
      <w:r w:rsidRPr="00396E6C">
        <w:rPr>
          <w:rFonts w:ascii="Times New Roman" w:hAnsi="Times New Roman" w:cs="Times New Roman"/>
          <w:sz w:val="28"/>
          <w:szCs w:val="28"/>
        </w:rPr>
        <w:t xml:space="preserve">- Kinh phí dành cho công tác PBGDPL, đề nghị các cơ quan, đơn vị báo cáo về nguồn kinh phí ngân sách nhà nước phân bổ thường xuyên năm 2024, kinh phí cấp theo chương trình, đề án và kinh phí từ nguồn hỗ trợ khác (nếu có) đã sử dụng. Đối với Báo cáo của Hội đồng PHPBGDPL cấp huyện, đề nghị báo cáo tổng số kinh phí </w:t>
      </w:r>
      <w:r w:rsidRPr="00396E6C">
        <w:rPr>
          <w:rFonts w:ascii="Times New Roman" w:hAnsi="Times New Roman" w:cs="Times New Roman"/>
          <w:sz w:val="28"/>
          <w:szCs w:val="28"/>
        </w:rPr>
        <w:lastRenderedPageBreak/>
        <w:t>đã sử dụng năm 2024 của cấp huyện và cấp xã, trong đó thể hiện cụ thể cấp huyện bao nhiêu, cấp xã bao nhiêu.</w:t>
      </w:r>
    </w:p>
    <w:p w14:paraId="5E713D12" w14:textId="13EF4E5C" w:rsidR="00EA2E3F" w:rsidRPr="00396E6C" w:rsidRDefault="00457B26" w:rsidP="00EA2E3F">
      <w:pPr>
        <w:jc w:val="both"/>
        <w:rPr>
          <w:rFonts w:ascii="Times New Roman" w:hAnsi="Times New Roman" w:cs="Times New Roman"/>
          <w:b/>
          <w:bCs/>
          <w:sz w:val="28"/>
          <w:szCs w:val="28"/>
        </w:rPr>
      </w:pPr>
      <w:r w:rsidRPr="00396E6C">
        <w:rPr>
          <w:rFonts w:ascii="Times New Roman" w:hAnsi="Times New Roman" w:cs="Times New Roman"/>
          <w:b/>
          <w:bCs/>
          <w:sz w:val="28"/>
          <w:szCs w:val="28"/>
        </w:rPr>
        <w:t xml:space="preserve">II. </w:t>
      </w:r>
      <w:r w:rsidR="00EA2E3F" w:rsidRPr="00396E6C">
        <w:rPr>
          <w:rFonts w:ascii="Times New Roman" w:hAnsi="Times New Roman" w:cs="Times New Roman"/>
          <w:b/>
          <w:bCs/>
          <w:sz w:val="28"/>
          <w:szCs w:val="28"/>
        </w:rPr>
        <w:t>Biểu hòa giải:</w:t>
      </w:r>
    </w:p>
    <w:p w14:paraId="50E590CA" w14:textId="354A3DF5" w:rsidR="0090042D" w:rsidRDefault="00EA2E3F" w:rsidP="00EA2E3F">
      <w:pPr>
        <w:jc w:val="both"/>
        <w:rPr>
          <w:rFonts w:ascii="Times New Roman" w:hAnsi="Times New Roman" w:cs="Times New Roman"/>
          <w:sz w:val="28"/>
          <w:szCs w:val="28"/>
        </w:rPr>
      </w:pPr>
      <w:r w:rsidRPr="00396E6C">
        <w:rPr>
          <w:rFonts w:ascii="Times New Roman" w:hAnsi="Times New Roman" w:cs="Times New Roman"/>
          <w:sz w:val="28"/>
          <w:szCs w:val="28"/>
        </w:rPr>
        <w:t xml:space="preserve">- Kiểm tra kinh phí hỗ trợ tổ hòa giải, kinh phí chi thù lao cho tổ hòa giải/hòa giải viên đã phù hợp chưa? Ví dụ: Kinh phí không được chi quá mức chi tối đa quy định tại </w:t>
      </w:r>
      <w:r w:rsidR="00457B26" w:rsidRPr="00396E6C">
        <w:rPr>
          <w:rFonts w:ascii="Times New Roman" w:hAnsi="Times New Roman" w:cs="Times New Roman"/>
          <w:sz w:val="28"/>
          <w:szCs w:val="28"/>
        </w:rPr>
        <w:t>Nghị quyết số 34/2023/NQ-</w:t>
      </w:r>
      <w:r w:rsidR="0090042D">
        <w:rPr>
          <w:rFonts w:ascii="Times New Roman" w:hAnsi="Times New Roman" w:cs="Times New Roman"/>
          <w:sz w:val="28"/>
          <w:szCs w:val="28"/>
        </w:rPr>
        <w:t>HĐND</w:t>
      </w:r>
      <w:r w:rsidRPr="00396E6C">
        <w:rPr>
          <w:rFonts w:ascii="Times New Roman" w:hAnsi="Times New Roman" w:cs="Times New Roman"/>
          <w:sz w:val="28"/>
          <w:szCs w:val="28"/>
        </w:rPr>
        <w:t>? (Thấp hơn thì được!)</w:t>
      </w:r>
    </w:p>
    <w:p w14:paraId="5A713C67" w14:textId="6FE6B348" w:rsidR="00EA2E3F" w:rsidRPr="0090042D" w:rsidRDefault="0090042D" w:rsidP="00EA2E3F">
      <w:pPr>
        <w:jc w:val="both"/>
        <w:rPr>
          <w:rFonts w:ascii="Times New Roman" w:hAnsi="Times New Roman" w:cs="Times New Roman"/>
          <w:b/>
          <w:bCs/>
          <w:sz w:val="28"/>
          <w:szCs w:val="28"/>
        </w:rPr>
      </w:pPr>
      <w:r w:rsidRPr="0090042D">
        <w:rPr>
          <w:rFonts w:ascii="Times New Roman" w:hAnsi="Times New Roman" w:cs="Times New Roman"/>
          <w:b/>
          <w:bCs/>
          <w:sz w:val="28"/>
          <w:szCs w:val="28"/>
        </w:rPr>
        <w:t>Các khoản chi công tác hòa giải ở cơ sở</w:t>
      </w:r>
      <w:r>
        <w:rPr>
          <w:rFonts w:ascii="Times New Roman" w:hAnsi="Times New Roman" w:cs="Times New Roman"/>
          <w:b/>
          <w:bCs/>
          <w:sz w:val="28"/>
          <w:szCs w:val="28"/>
        </w:rPr>
        <w:t xml:space="preserve"> theo </w:t>
      </w:r>
      <w:r w:rsidRPr="0090042D">
        <w:rPr>
          <w:rFonts w:ascii="Times New Roman" w:hAnsi="Times New Roman" w:cs="Times New Roman"/>
          <w:b/>
          <w:bCs/>
          <w:sz w:val="28"/>
          <w:szCs w:val="28"/>
        </w:rPr>
        <w:t>Nghị quyết số 34/2023/NQ-HĐND</w:t>
      </w:r>
    </w:p>
    <w:p w14:paraId="03673D14" w14:textId="4E2A728E" w:rsidR="0090042D" w:rsidRPr="0090042D" w:rsidRDefault="0090042D" w:rsidP="00EA2E3F">
      <w:pPr>
        <w:jc w:val="both"/>
        <w:rPr>
          <w:rFonts w:ascii="Times New Roman" w:hAnsi="Times New Roman" w:cs="Times New Roman"/>
          <w:sz w:val="28"/>
          <w:szCs w:val="28"/>
        </w:rPr>
      </w:pPr>
      <w:r w:rsidRPr="0090042D">
        <w:rPr>
          <w:rFonts w:ascii="Times New Roman" w:hAnsi="Times New Roman" w:cs="Times New Roman"/>
          <w:sz w:val="28"/>
          <w:szCs w:val="28"/>
        </w:rPr>
        <w:t>+ Chi thù lao cho hòa giải viên (đối với các hòa giải viên trực tiếp tham gia vụ, việc hòa giải): 300.000 đồng/vụ, việc. Trường hợp vụ, việc hòa giải thành theo Điều 24 Luật Hòa giải ở cơ sở: 400.000 đồng/vụ, việc;</w:t>
      </w:r>
    </w:p>
    <w:p w14:paraId="779A38CD" w14:textId="5C116545" w:rsidR="0090042D" w:rsidRPr="0090042D" w:rsidRDefault="0090042D" w:rsidP="00EA2E3F">
      <w:pPr>
        <w:jc w:val="both"/>
        <w:rPr>
          <w:rFonts w:ascii="Times New Roman" w:hAnsi="Times New Roman" w:cs="Times New Roman"/>
          <w:sz w:val="28"/>
          <w:szCs w:val="28"/>
        </w:rPr>
      </w:pPr>
      <w:r w:rsidRPr="0090042D">
        <w:rPr>
          <w:rFonts w:ascii="Times New Roman" w:hAnsi="Times New Roman" w:cs="Times New Roman"/>
          <w:sz w:val="28"/>
          <w:szCs w:val="28"/>
        </w:rPr>
        <w:t>+ Chi hỗ trợ chi phí mai táng cho người tổ chức mai táng hòa giải viên gặp tai nạn hoặc rủi ro bị thiệt hại về tính mạng trong khi thực hiện hoạt động hòa giải ở cơ sở: 9.000.000 đồng.</w:t>
      </w:r>
    </w:p>
    <w:p w14:paraId="22670161" w14:textId="7BD13082" w:rsidR="0090042D" w:rsidRPr="00396E6C" w:rsidRDefault="0090042D" w:rsidP="00EA2E3F">
      <w:pPr>
        <w:jc w:val="both"/>
        <w:rPr>
          <w:rFonts w:ascii="Times New Roman" w:hAnsi="Times New Roman" w:cs="Times New Roman"/>
          <w:sz w:val="28"/>
          <w:szCs w:val="28"/>
        </w:rPr>
      </w:pPr>
      <w:r w:rsidRPr="0090042D">
        <w:rPr>
          <w:rFonts w:ascii="Times New Roman" w:hAnsi="Times New Roman" w:cs="Times New Roman"/>
          <w:sz w:val="28"/>
          <w:szCs w:val="28"/>
        </w:rPr>
        <w:t>+ Chi hỗ trợ hoạt động của tổ hòa giải (chi mua văn phòng phẩm, sao chụp tài liệu, nước uống phục vụ các cuộc họp của tổ hòa giải): 150.000 đồng/tổ hòa giải/tháng.</w:t>
      </w:r>
    </w:p>
    <w:p w14:paraId="2A4EF656" w14:textId="0DF994CD" w:rsidR="00EA2E3F" w:rsidRPr="00396E6C" w:rsidRDefault="00457B26" w:rsidP="00457B26">
      <w:pPr>
        <w:jc w:val="both"/>
        <w:rPr>
          <w:rFonts w:ascii="Times New Roman" w:hAnsi="Times New Roman" w:cs="Times New Roman"/>
          <w:sz w:val="28"/>
          <w:szCs w:val="28"/>
        </w:rPr>
      </w:pPr>
      <w:r w:rsidRPr="00396E6C">
        <w:rPr>
          <w:rFonts w:ascii="Times New Roman" w:hAnsi="Times New Roman" w:cs="Times New Roman"/>
          <w:sz w:val="28"/>
          <w:szCs w:val="28"/>
        </w:rPr>
        <w:t>- Bộ Tư pháp</w:t>
      </w:r>
      <w:r w:rsidR="00EA2E3F" w:rsidRPr="00396E6C">
        <w:rPr>
          <w:rFonts w:ascii="Times New Roman" w:hAnsi="Times New Roman" w:cs="Times New Roman"/>
          <w:sz w:val="28"/>
          <w:szCs w:val="28"/>
        </w:rPr>
        <w:t xml:space="preserve"> sẽ kiểm tra</w:t>
      </w:r>
      <w:r w:rsidR="0090042D">
        <w:rPr>
          <w:rFonts w:ascii="Times New Roman" w:hAnsi="Times New Roman" w:cs="Times New Roman"/>
          <w:sz w:val="28"/>
          <w:szCs w:val="28"/>
        </w:rPr>
        <w:t xml:space="preserve"> số liệu</w:t>
      </w:r>
      <w:r w:rsidR="00EA2E3F" w:rsidRPr="00396E6C">
        <w:rPr>
          <w:rFonts w:ascii="Times New Roman" w:hAnsi="Times New Roman" w:cs="Times New Roman"/>
          <w:sz w:val="28"/>
          <w:szCs w:val="28"/>
        </w:rPr>
        <w:t xml:space="preserve"> đến cấp xã, nên </w:t>
      </w:r>
      <w:r w:rsidRPr="00396E6C">
        <w:rPr>
          <w:rFonts w:ascii="Times New Roman" w:hAnsi="Times New Roman" w:cs="Times New Roman"/>
          <w:sz w:val="28"/>
          <w:szCs w:val="28"/>
        </w:rPr>
        <w:t>cấp huyện</w:t>
      </w:r>
      <w:r w:rsidR="00EA2E3F" w:rsidRPr="00396E6C">
        <w:rPr>
          <w:rFonts w:ascii="Times New Roman" w:hAnsi="Times New Roman" w:cs="Times New Roman"/>
          <w:sz w:val="28"/>
          <w:szCs w:val="28"/>
        </w:rPr>
        <w:t xml:space="preserve"> cũng xem tại phần mềm đơn vị cấp </w:t>
      </w:r>
      <w:r w:rsidRPr="00396E6C">
        <w:rPr>
          <w:rFonts w:ascii="Times New Roman" w:hAnsi="Times New Roman" w:cs="Times New Roman"/>
          <w:sz w:val="28"/>
          <w:szCs w:val="28"/>
        </w:rPr>
        <w:t>xã</w:t>
      </w:r>
      <w:r w:rsidR="00EA2E3F" w:rsidRPr="00396E6C">
        <w:rPr>
          <w:rFonts w:ascii="Times New Roman" w:hAnsi="Times New Roman" w:cs="Times New Roman"/>
          <w:sz w:val="28"/>
          <w:szCs w:val="28"/>
        </w:rPr>
        <w:t xml:space="preserve"> đã tổng hợp đúng số liệu của </w:t>
      </w:r>
      <w:r w:rsidR="00D96C2E">
        <w:rPr>
          <w:rFonts w:ascii="Times New Roman" w:hAnsi="Times New Roman" w:cs="Times New Roman"/>
          <w:sz w:val="28"/>
          <w:szCs w:val="28"/>
        </w:rPr>
        <w:t>tổ hòa giải</w:t>
      </w:r>
      <w:r w:rsidR="00EA2E3F" w:rsidRPr="00396E6C">
        <w:rPr>
          <w:rFonts w:ascii="Times New Roman" w:hAnsi="Times New Roman" w:cs="Times New Roman"/>
          <w:sz w:val="28"/>
          <w:szCs w:val="28"/>
        </w:rPr>
        <w:t xml:space="preserve"> hay chưa. Vì vậy, cần đảm bảo tất cả các xã chuyển số liệu về trước khi Huyện làm bảng tổng hợp.</w:t>
      </w:r>
    </w:p>
    <w:p w14:paraId="511DBCEF" w14:textId="7CE5EE7E" w:rsidR="00EA2E3F" w:rsidRPr="00396E6C" w:rsidRDefault="00EA2E3F" w:rsidP="00EA2E3F">
      <w:pPr>
        <w:jc w:val="center"/>
        <w:rPr>
          <w:rFonts w:ascii="Times New Roman" w:hAnsi="Times New Roman" w:cs="Times New Roman"/>
          <w:b/>
          <w:bCs/>
          <w:sz w:val="28"/>
          <w:szCs w:val="28"/>
        </w:rPr>
      </w:pPr>
    </w:p>
    <w:p w14:paraId="1BFB5787" w14:textId="77777777" w:rsidR="00EA2E3F" w:rsidRPr="00396E6C" w:rsidRDefault="00EA2E3F" w:rsidP="00EA2E3F">
      <w:pPr>
        <w:jc w:val="center"/>
        <w:rPr>
          <w:rFonts w:ascii="Times New Roman" w:hAnsi="Times New Roman" w:cs="Times New Roman"/>
          <w:b/>
          <w:bCs/>
          <w:sz w:val="28"/>
          <w:szCs w:val="28"/>
        </w:rPr>
      </w:pPr>
    </w:p>
    <w:p w14:paraId="10E51EAE" w14:textId="77777777" w:rsidR="00EA2E3F" w:rsidRPr="00396E6C" w:rsidRDefault="00EA2E3F">
      <w:pPr>
        <w:rPr>
          <w:rFonts w:ascii="Times New Roman" w:hAnsi="Times New Roman" w:cs="Times New Roman"/>
        </w:rPr>
      </w:pPr>
    </w:p>
    <w:sectPr w:rsidR="00EA2E3F" w:rsidRPr="00396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3F"/>
    <w:rsid w:val="000355F7"/>
    <w:rsid w:val="00396E6C"/>
    <w:rsid w:val="00457B26"/>
    <w:rsid w:val="00672A7B"/>
    <w:rsid w:val="008821A3"/>
    <w:rsid w:val="0090042D"/>
    <w:rsid w:val="00D96C2E"/>
    <w:rsid w:val="00EA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AFE8"/>
  <w15:chartTrackingRefBased/>
  <w15:docId w15:val="{5CBACDEE-324D-4C59-BF6F-C03CDD5A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phuc Nguyen ngoc</cp:lastModifiedBy>
  <cp:revision>5</cp:revision>
  <dcterms:created xsi:type="dcterms:W3CDTF">2024-06-19T01:00:00Z</dcterms:created>
  <dcterms:modified xsi:type="dcterms:W3CDTF">2025-01-08T10:23:00Z</dcterms:modified>
</cp:coreProperties>
</file>